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ссылки</w:t>
      </w:r>
      <w:r>
        <w:rPr>
          <w:rFonts w:ascii="Times New Roman" w:hAnsi="Times New Roman"/>
          <w:sz w:val="28"/>
          <w:szCs w:val="28"/>
        </w:rPr>
        <w:t xml:space="preserve"> и сокращения</w:t>
      </w:r>
      <w:r>
        <w:rPr>
          <w:rFonts w:ascii="Times New Roman" w:hAnsi="Times New Roman"/>
          <w:sz w:val="28"/>
          <w:szCs w:val="28"/>
        </w:rPr>
        <w:t xml:space="preserve"> на нормативные правовые акты: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hyperlink r:id="rId10" w:tooltip="consultantplus://offline/ref=73E2DDE00BBF83223B9D6825D5565C9EDB29E17FEB9C921F0F5F0522FB95D0EFB7F07A4886D841C1441170AD40bCQ4C" w:history="1">
        <w:r>
          <w:rPr>
            <w:rFonts w:ascii="Times New Roman" w:hAnsi="Times New Roman"/>
            <w:sz w:val="28"/>
            <w:szCs w:val="28"/>
          </w:rPr>
          <w:t xml:space="preserve">Указ</w:t>
        </w:r>
      </w:hyperlink>
      <w:r>
        <w:rPr>
          <w:rFonts w:ascii="Times New Roman" w:hAnsi="Times New Roman"/>
          <w:sz w:val="28"/>
          <w:szCs w:val="28"/>
        </w:rPr>
        <w:t xml:space="preserve"> Президента Российской Федерации от 21.09.2022 № 647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«Об объявлении частичной мобилизации в Российской Федерации» -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Указ № 647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Трудовой кодекс Российской Федерации 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ТК РФ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28.03.1998 № 53-ФЗ «О воинской обязанности и военной службе» - ФЗ № 53-ФЗ;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26.02.1997 № 31-ФЗ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«О </w:t>
      </w:r>
      <w:r>
        <w:rPr>
          <w:rFonts w:ascii="Times New Roman" w:hAnsi="Times New Roman"/>
          <w:sz w:val="28"/>
          <w:szCs w:val="28"/>
          <w:lang w:eastAsia="ru-RU"/>
        </w:rPr>
        <w:t xml:space="preserve">мобилизационной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подготовке и мобилизации в Российской Федерации» - ФЗ № 31-ФЗ;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27.05.1998 №76-ФЗ «О статусе военнослужащих» - ФЗ № 76-ФЗ.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850" w:bottom="851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4992" w:type="dxa"/>
        <w:tblInd w:w="142" w:type="dxa"/>
        <w:tblBorders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1"/>
        <w:gridCol w:w="8788"/>
        <w:gridCol w:w="2977"/>
      </w:tblGrid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Вопрос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Ответ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Обоснование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Каких работников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касаются вопросы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 данного раздела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Распространяется на всех работников, призванных по мобилизации с 21.09.2022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военную службу по мобилизации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, направленных на службу в войска национальной гвардии Российской Федерации по мобилизации или заключивших контракт о прохождении военной службы в период мобилизации, в период военного положения 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ли в военное время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(далее – мобилизованные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работники)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ст. 351.7 ТК РФ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Новые правила касаются всех работников?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Правила касаются всех работающих по найму. Приостанавливаются: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бессрочные и срочные трудовые договоры;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</w:p>
          <w:p>
            <w:pPr>
              <w:ind w:left="142" w:right="0" w:firstLine="283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бессрочные и срочные служебные контракты;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</w:p>
          <w:p>
            <w:pPr>
              <w:ind w:left="142" w:right="0" w:firstLine="283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договоры в период испытательного срока.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ст. 351.7 ТК РФ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Уволят ли работников в случае их мобилизации?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Нет. Уволить мобилизованного работника нельзя. Работодатель должен будет сохранить рабочее место за мобилизованным работником.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т. 351.7 ТК РФ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Что будет с трудовым договором?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Трудовой договор между мобилизованным работником и работодателем будет приостановлен на время службы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ч. 1 ст. 351.7 ТК РФ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Нужно ли дополнительное соглашение к трудовому договору помимо приказа работодателя?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Нет. Достаточно только приказа работодателя о приостановке трудового договора на основе повестки.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2 ст. 351.7 ТК РФ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Будет ли приостановлен срочный трудовой договор в случае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мобилизации сотрудника?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Да. Закон о сохранении рабочих мест распространяется на всех работников, призванных по мобилизации с 21.09.2022.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 Но, если срок трудового договора истек в период мобилизации, работодатель вправе  уволить работника в связи с истечением срока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трудового договора.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. 1, ч. 11 ст. 351.7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br/>
              <w:t xml:space="preserve">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Работникам на испытательном сроке приостановят трудовой договор?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Да. Если работник заключил трудовой договор и сейчас проходит испытательный срок, то в случае призыва по мобилизации с 21.09.2022 его трудовой договор также будет приостановлен. Вернуться к работе можно будет на прежних условиях.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. 1, ч. 11 ст. 351.7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br/>
              <w:t xml:space="preserve">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Мобилизованным работникам с уведомлением о сокращении трудовой договор приостановят?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Да. В случае если работник уже получил уведомление о сокращении, но еще продолжает работать, то при получении повестки его трудовой договор также будет приостановлен.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. 1, ч. 11 ст. 351.7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br/>
              <w:t xml:space="preserve">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Что будет с работниками, которые написали заявление на увольнение?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Даже если работник написал заявление об увольнении, но еще отрабатывал 2 недели, то действие его трудового договора также приостанавливается на период мобилизации. После завершения мобилизации он сможет вернуться в организацию ровно на тех же условиях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1, ч. 11 ст. 351.7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br/>
              <w:t xml:space="preserve">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Мобилизованного работника работодатель обязал написать заявление на увольнение «по собственному желанию». Что делать в этом случае?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Работодатель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обязан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издать приказ об отмене приказа об увольнении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направить сведения об этом в ПФР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сделать запись об отмене приказа в трудовую книжку мобилизованного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после чего издать приказ о приостановлении трудового договора на основании повестки о призыве на военную службу по мобилизации.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При отказе работодателя, работник или его официальный представитель (в том числе родственник) по доверенности имеет право обратиться с жалобой на него в государственную трудовую инспекцию, прокуратуру и суд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1, ч. 11 ст. 351.7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br/>
              <w:t xml:space="preserve">ТК РФ,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ч.1 ст. 392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, ст.394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ТК РФ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Если работодатель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получил повестку на  работника находящегося в командировке, что делать?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Поскольку работодатель обязан обеспечить явку мобилизованного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работника на сборны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й пункт, нужно отозвать его из командировки или отменить ее, если поездка не началась. Чтобы отменить командировку или отозвать из нее работника,  издается приказ. В нем указывается причина отмены, действия работника и других лиц, связанных с этим, и т.п.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аботника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требуется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с приказом. Если он находится в поездке, направьте приказ, например, по электронной почте. Получите от работника подтверждение ознакомления с документом.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hyperlink r:id="rId11" w:tooltip="consultantplus://offline/ref=C608FFF7B2C0D5EF90B34299EDB0421112517C09682F64941A08D477CA7B19BEA07940C2784955C00FDACAA3D0F7153561E2630514D2CD44gAqAH" w:history="1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eastAsia="ru-RU"/>
                </w:rPr>
                <w:t xml:space="preserve">пп. 7 п. 1 ст. 9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ФЗ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N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31-ФЗ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Если работодатель успел издать приказ об увольнении, что делать?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Его необходимо отменить, издав приказ о приостановлении трудового договора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1, ч. 11 ст. 351.7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br/>
              <w:t xml:space="preserve">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Смогут ли работодатели нанимать временных сотрудников в этот период?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Да. На время приостановки договора работодатель может заключать срочные трудовые договоры и принимать на работу временных сотрудников.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. 4 ст. 351.7 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Как оформить замену для работника, который был мобилизован?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Работодатель может взять на время мобилизации работника другого временного сотрудника – по срочному трудовому договору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4 ст. 351.7 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После окончания службы можно будет вернуться на ту же должность?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Все работники, призванные по мобилизации с 21.09.2022, могут вернуться на рабочее место на прежних условиях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 до истечения трех месяцев после демобилизации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Но, в случае, если работник не вышел на работу по истечении трех месяцев после окончания прохождения им военной службы по мобилизации расторжение трудового договора с работником осуществляется по инициативе работодателя по основанию,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предусмотренному </w:t>
            </w:r>
            <w:hyperlink r:id="rId12" w:tooltip="consultantplus://offline/ref=C40A990339292A3F7C5C63C5BF250A494F9203BF73E0926EE5E68B16C52BC2E0AD50DAFC9E11C084F780BBF84060E1B5FEBD53D79ACBdCx1H" w:history="1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eastAsia="ru-RU"/>
                </w:rPr>
                <w:t xml:space="preserve">пунктом 13.1 части первой статьи 81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настоящего Кодекса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(«невыхода работника на работу по истечении трех месяцев после окончания прохождения им военной службы…»)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4 ст. 351.7 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12 ст. 351.7 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Нужно ли приносить повестку работодателю?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Да. Для приостановки трудового договора работнику нужно предоставить работодателю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  <w:t xml:space="preserve">или направить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копию повестки из военкомата о призыве на военную службу по мобилизации.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left="142" w:right="0" w:firstLine="283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Если работник не может принести копию повестки сам, работодатель может получить копию у родственников или направить запрос в военкомат. Если работник не успевает написать заявление, это может сделать другой человек на основании выданной работником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доверенности.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. 2 ст. 351.7 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Как работодатель приостанавливает трудовой договор?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Работодатель на основании заявления работника издает приказ о приостановлении действия трудового договора. К заявлению работника прилагается копия повестки о призыве на военную службу по мобилизации или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уведомление федерального органа исполнительной власти о заключении с работником контракта о прохождении военной службы. Указанное уведомление предоставляется федеральным органом исполнительной власти, с которым работник заключил соответствующий контракт. </w:t>
            </w:r>
            <w:r>
              <w:rPr>
                <w:rFonts w:ascii="Times New Roman" w:hAnsi="Times New Roman"/>
                <w:i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Работника необходимо ознакомить с приказом под подпись. Если это невозможно сделать - на приказе сделайте соответствующую запись.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. 2 ст. 351.7 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Где хранится трудовая книжка работника в период приостановления действия трудового договора в связи с призывом по мобилизации?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Трудовой договор с работодателем не расторгается, а приостанавливается, в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связи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с чем трудовая книжка хранится у работодателя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Приказ Минтруда России от 19.05.2021 № 320н «Об утверждении формы, порядка ведения и хранения трудовых книжек»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3226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Какие выплаты работодатель обязан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произвести в связи с мобилизацией работника?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8789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Работодатель не позднее дня приостановления действия трудового договора обязан выплатить работнику заработную плату и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причитающиеся ему выплаты в полном объеме за период работы, предшествующий приостановлению действия трудового договора.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Например: выплаты, предусмотренные трудовым договором, коллективным договором, соглашением сторон социального партнерства, оплата командировочных расходов, единовременные поощр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ительные и другие выплаты, выплаты в связи с праздничными днями и юбилейными датами, оплата питания, материальная помощь, дополнительные денежные суммы при предоставлении работникам ежегодного отпуска и другие выплаты пропорционально отработанному времени.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ч.5 ст. 351.7 ТК РФ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shd w:val="clear" w:color="auto" w:fill="ffffff"/>
              </w:rPr>
              <w:t xml:space="preserve">Как работодателю отражать в отчетности в СФР сведения о мобилизованном работнике?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  <w:t xml:space="preserve">Сведения о том, что трудовой договор приостановлен в связи с мобилизацией, необходимо будет подать в СФР, чтобы этот период учитывался в стаже, несмотря на то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  <w:t xml:space="preserve">, что взносы работодателем не уплачиваются. При выплате пенсий финансирование таких периодов обеспечивается государством. Работодателю необходимо будет в режиме онлайн отразить изменения статуса работника в ф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  <w:shd w:val="clear" w:color="auto" w:fill="ffffff"/>
              </w:rPr>
              <w:t xml:space="preserve">орме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ЕФС-1.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</w:r>
            <w:r/>
          </w:p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before="0" w:after="0" w:line="288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Федеральный закон от 01.04.1996 № 27-ФЗ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 индивидуальном (персонифицированном) учете в системах обязательного пенсионного страхования и обязательного социального страхования</w:t>
            </w:r>
            <w:r>
              <w:rPr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В каком случае трудовой договор с мобилизованным работником может быть расторгнут?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Расторжение по инициативе работодателя трудового дого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вора с работником может быть расторгнут только в  случае ликвидации организации либо прекращения деятельности индивидуальным предпринимателем, а также истечения в указанный период срока действия трудового договора, если он был заключен на определенный срок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11 ст. 351.7 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Правомерно ли расторжение трудового договора, если работодатель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-ф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изическое лицо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мобилизован?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Да.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Основанием для прекращения трудовог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о договора является призыв работодателя-физлица или работодателя - единственного учредителя (участника) юрлица, являющегося его единоличным исполнительным органом, на военную службу по мобилизации, если он на период прохождения такой службы не уполномочил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другое лицо осуществлять права и обязанности в качестве работодателя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hyperlink r:id="rId13" w:tooltip="consultantplus://offline/ref=01FC25241AF7D5C55F1A4EBAC2E9F093DC5C2EDECD6DD8AC0B9802C0D4C62DBA4E8B21203CCB02D4D7A17EB8D4AD6094CB2D8418306143XAC" w:history="1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eastAsia="ru-RU"/>
                </w:rPr>
                <w:t xml:space="preserve">п. 7 ч. 1 ст. 83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Какие есть трудовые гарантии родителю, если другой родитель мобилизован?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Работающий родитель, если другой родитель призван на военную службу по мобилизации или проходит военную службу по контракту, заключенному в соответствии с </w:t>
            </w:r>
            <w:hyperlink r:id="rId14" w:tooltip="consultantplus://offline/ref=DB6D0E1A88EBACC1F5D5CB568F17AD27F620D247AE76A848209934228897B2C75A9E756459731587D71C96A7AF0E04C97BA4A94840u9a9E" w:history="1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eastAsia="ru-RU"/>
                </w:rPr>
                <w:t xml:space="preserve">п. 7 ст. 38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ФЗ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br/>
              <w:t xml:space="preserve">№ 53-ФЗ, либо заключил контракт о добровольном содействии в выполнении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задач, возложенных на ВС РФ может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воспользоваться правом: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- отказаться от направления в служебную командировку, привлечения к сверхурочной работе, работе в ночное время, выходные и нерабочие праздничные дни: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получить преимущественное право сохранения рабочего места в случае сокращений в организации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highlight w:val="white"/>
              </w:rPr>
            </w:r>
            <w:hyperlink r:id="rId15" w:tooltip="consultantplus://offline/ref=01FC25241AF7D5C55F1A4EBAC2E9F093DC5C2EDECD6DD8AC0B9802C0D4C62DBA4E8B21203CCB02D4D7A17EB8D4AD6094CB2D8418306143XAC" w:history="1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eastAsia="ru-RU"/>
                </w:rPr>
                <w:t xml:space="preserve">ч. 3 ст. 259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ч.2 ст. 179 ТК РФ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W w:w="3227" w:type="dxa"/>
            <w:vMerge w:val="restart"/>
            <w:textDirection w:val="lrTb"/>
            <w:noWrap w:val="false"/>
          </w:tcPr>
          <w:p>
            <w:pPr>
              <w:ind w:left="142" w:right="0" w:firstLine="0"/>
              <w:jc w:val="both"/>
              <w:spacing w:before="0" w:after="0" w:line="288" w:lineRule="atLeast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Какие есть еще трудовые гарантии родственникам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мобилизованных?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8788" w:type="dxa"/>
            <w:vMerge w:val="restart"/>
            <w:textDirection w:val="lrTb"/>
            <w:noWrap w:val="false"/>
          </w:tcPr>
          <w:p>
            <w:pPr>
              <w:ind w:left="142" w:right="0" w:firstLine="283"/>
              <w:jc w:val="both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Льготы есть у родителей, супруга и ребенка (детей), в том числе совершеннолетнего, если мобилизованный, контрактник или доброволец: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- погиб или умер, например, из-за ранения, которое получено при исполнении обязанностей военной службы (службы), обязанностей по контракту добровольца. В этом случае названные родственники могут взять отпуск без сохранения зарплаты продолжительностью </w:t>
            </w:r>
            <w:hyperlink r:id="rId16" w:tooltip="https://login.consultant.ru/link/?req=doc&amp;base=LAW&amp;n=519026&amp;dst=102684&amp;field=134&amp;date=16.03.2026" w:history="1">
              <w:r>
                <w:rPr>
                  <w:rStyle w:val="853"/>
                  <w:rFonts w:ascii="Times New Roman" w:hAnsi="Times New Roman" w:eastAsia="Times New Roman" w:cs="Times New Roman"/>
                  <w:b w:val="0"/>
                  <w:bCs w:val="0"/>
                  <w:color w:val="auto"/>
                  <w:sz w:val="28"/>
                  <w:szCs w:val="28"/>
                  <w:highlight w:val="white"/>
                  <w:u w:val="none"/>
                </w:rPr>
                <w:t xml:space="preserve">до 14 календарных дней в году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- получил ранение, контузию или увечье при указанных обстоятельствах либо заболевание, связанное с прохождением военной службы (службы), исполнением обязанностей по контракту добровольца, и ему требуется уход. Это подтверждает медицинское заключение, выдан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ное в установленном порядке. Тогда продолжительность отпуска без сохранения зарплаты с целью ухода за гражданином составит </w:t>
            </w:r>
            <w:hyperlink r:id="rId17" w:tooltip="https://login.consultant.ru/link/?req=doc&amp;base=LAW&amp;n=519026&amp;dst=102685&amp;field=134&amp;date=16.03.2026" w:history="1">
              <w:r>
                <w:rPr>
                  <w:rStyle w:val="853"/>
                  <w:rFonts w:ascii="Times New Roman" w:hAnsi="Times New Roman" w:eastAsia="Times New Roman" w:cs="Times New Roman"/>
                  <w:b w:val="0"/>
                  <w:bCs w:val="0"/>
                  <w:color w:val="auto"/>
                  <w:sz w:val="28"/>
                  <w:szCs w:val="28"/>
                  <w:highlight w:val="white"/>
                  <w:u w:val="none"/>
                </w:rPr>
                <w:t xml:space="preserve">до 35 календарных дней в году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Работодатель </w:t>
            </w:r>
            <w:hyperlink r:id="rId18" w:tooltip="https://login.consultant.ru/link/?req=doc&amp;base=LAW&amp;n=519026&amp;dst=100867&amp;field=134&amp;date=16.03.2026" w:history="1">
              <w:r>
                <w:rPr>
                  <w:rStyle w:val="853"/>
                  <w:rFonts w:ascii="Times New Roman" w:hAnsi="Times New Roman" w:eastAsia="Times New Roman" w:cs="Times New Roman"/>
                  <w:b w:val="0"/>
                  <w:bCs w:val="0"/>
                  <w:color w:val="auto"/>
                  <w:sz w:val="28"/>
                  <w:szCs w:val="28"/>
                  <w:highlight w:val="white"/>
                  <w:u w:val="single"/>
                </w:rPr>
                <w:t xml:space="preserve">обязан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 предоставить отпуск на основании пись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менного заявления работника.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 допускается 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асторжение трудового договора с супругой (супругом) погибшего (умершего) ветерана боевых действий, не вступившей (не вступившим) в повторный брак, по инициативе работодателя  в течение одного года с момента гибели (смерти) ветерана боевых де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йствий (за исключением увольнения по основаниям, предусмотренным п.1, 5-8, 10, 11 ч. 1 ст. 81 ТК РФ или п. 2 ст. 336 ТК РФ).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ind w:left="142" w:right="0" w:firstLine="0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ru-RU"/>
              </w:rPr>
              <w:t xml:space="preserve">абз. 4 ч.2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ст. 128 ТК РФ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center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ru-RU"/>
              </w:rPr>
              <w:t xml:space="preserve">абз. 7 ч.2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ст. 128 ТК РФ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center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center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center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center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center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spacing w:before="0" w:beforeAutospacing="0"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ru-RU"/>
              </w:rPr>
              <w:t xml:space="preserve">абз. 1 ч.2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ст. 128 ТК РФ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spacing w:after="0" w:afterAutospacing="0" w:line="283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ст. 264.1 ТК РФ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Какие еще есть трудовые гарантии   мобилизованному работнику?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На период приостановления действия трудового договора в отношении мобилизованного работника сохраняются социально-трудовые гарантии, право на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предоставление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которых он получил до начала указанного периода (дополнительное страхование работника,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негосударственное пенсионное обеспечение работника, улучшение социально-бытовых условий работника и членов его семьи)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283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до дня возобновления действия трудового договора, но не более трех месяцев.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142" w:right="0" w:firstLine="283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Трехмесячный срок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со дня, следующего за днем окончания прохождения работником военной службы по мобилизации,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до дня возобновления действия трудового договора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продлевается на период временной нетрудоспособности работника, наступившей после окончания прохождения им военной службы по мобилизации,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либо после окончания действия заключенного им контракта о добровольном содействии в выполнении задач, возложенных на Вооруженные Силы Российской Федерации или войска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национальной гвардии Российской Федерации.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ч. 6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ст. 351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 ТК РФ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ч. 14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ст. 351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 ТК РФ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ч. 15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ст. 351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 ТК РФ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Как оформлять в табеле отсутствие сотрудника в период мобилизации?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Работодатель самостоятельно выпускает приказ, которым вводит условное обозначение для маркировки отсутствия работника по мобилизации в табеле учета рабочего времени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Будет ли период приостановки договора включен в трудовой стаж?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Период приостановления действия трудового договора в соответствии со ст. 351.7 ТК РФ  засчитывается в трудовой стаж работника, а также в стаж работы по специальности (за исключением случаев досрочного назначения страховой пенсии по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старости).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8 ст. 351.7 ТК РФ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Будет ли период приостановки договора включен в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 стаж работы, дающий право на ежегодные оплачиваемые отпуска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?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Время отсутствия мобилизованного работника (период приостановки трудового договора)  учитывается для расчета отпускного стажа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hyperlink r:id="rId19" w:tooltip="consultantplus://offline/ref=A3E72D32DD31EF0CAC7968ED7E8020DAC81649631001DDE418F577666EBFDBCAA06859E4AC0897019731DA972E9AE80C33720F80AA91D6uCF" w:history="1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eastAsia="ru-RU"/>
                </w:rPr>
                <w:t xml:space="preserve">абз</w:t>
              </w:r>
              <w:r>
                <w:rPr>
                  <w:rFonts w:ascii="Times New Roman" w:hAnsi="Times New Roman"/>
                  <w:sz w:val="28"/>
                  <w:szCs w:val="28"/>
                  <w:highlight w:val="white"/>
                  <w:lang w:eastAsia="ru-RU"/>
                </w:rPr>
                <w:t xml:space="preserve">.</w:t>
              </w:r>
              <w:r>
                <w:rPr>
                  <w:rFonts w:ascii="Times New Roman" w:hAnsi="Times New Roman"/>
                  <w:sz w:val="28"/>
                  <w:szCs w:val="28"/>
                  <w:highlight w:val="white"/>
                  <w:lang w:eastAsia="ru-RU"/>
                </w:rPr>
                <w:t xml:space="preserve"> 7 ч.1  ст. 121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6, 8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ст. </w:t>
            </w:r>
            <w:hyperlink r:id="rId20" w:tooltip="consultantplus://offline/ref=A3E72D32DD31EF0CAC7968ED7E8020DAC81649631001DDE418F577666EBFDBCAA06859E4AC0996019731DA972E9AE80C33720F80AA91D6uCF" w:history="1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eastAsia="ru-RU"/>
                </w:rPr>
                <w:t xml:space="preserve">351.7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ТК РФ</w:t>
            </w:r>
            <w:r>
              <w:rPr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Как возобновить трудовой договор демобилизованному работнику?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Демобилизованный работник  обязан предупредить работодателя о своем выходе на работу не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позднее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чем за три рабочих дня. Действие трудового договора возобновляется в день выхода работника на работу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9 ст. 351.7 ТК РФ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  <w:t xml:space="preserve">Как получить неиспользованный отпуск демобилизованному работнику?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Работник в течение шести месяцев после возобновления в соответствии с ст. 351.7 ТК РФ 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10 ст. 351.7 ТК РФ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В каком случае трудовой договор с демобилизованным работником может быть расторгнут?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Трудовой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договор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может быть расторгнут работодателем в случаях невыхода демобилизованного работника на работу по истечении трех месяцев после окончания прохождения им военной службы по мобилизации или военной службы по контракту, заключенному в соответствии с </w:t>
            </w:r>
            <w:hyperlink r:id="rId21" w:tooltip="consultantplus://offline/ref=CC64F90251F989A2574D0C25771E43E12916D2455BA1A0F7AD0997A4FCB09DE7C24CB972FE24F95A0F8D48EE768DCFC536B6413C1CI3M9C" w:history="1">
              <w:r>
                <w:rPr>
                  <w:rFonts w:ascii="Times New Roman" w:hAnsi="Times New Roman"/>
                  <w:sz w:val="28"/>
                  <w:szCs w:val="28"/>
                  <w:highlight w:val="white"/>
                  <w:lang w:eastAsia="ru-RU"/>
                </w:rPr>
                <w:t xml:space="preserve">п. 7 ст. 38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ФЗ от 28.03.1998 № 53-ФЗ, либо после окончания действия заключенного работником контракта о добровольном содействии в выполнении задач, возложенных на Вооруженные Силы РФ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п. 13.1 ч. 1 ст. 81 ТК РФ,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ч. 12 ст. 351.7 ТК РФ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29"/>
        </w:trPr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Во время приостановки трудового договора работодателю необходимо выплачивать страховые взносы?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 период прохождения службы работодатель страховые взносы за сотрудника не уплачивает.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ч.3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351.7 ТК РФ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29"/>
        </w:trPr>
        <w:tc>
          <w:tcPr>
            <w:gridSpan w:val="2"/>
            <w:shd w:val="clear" w:color="auto" w:fill="auto"/>
            <w:tcW w:w="322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Если в период мобилизации работник был уволен, т.к. срочный трудовой договор истек, может ли он устроиться на бывшую работу?  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788" w:type="dxa"/>
            <w:textDirection w:val="lrTb"/>
            <w:noWrap w:val="false"/>
          </w:tcPr>
          <w:p>
            <w:pPr>
              <w:ind w:left="142" w:right="0" w:firstLine="283"/>
              <w:jc w:val="both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Л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ицо, призванное на военную службу по мобилизации, заключившее контракт либо добровольно содействующее в выполнении задач, возложенных на Вооруженные С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илы РФ, в течение трех месяцев после окончания прохождения военной службы имеет преимущественное право поступления на работу по ранее занимаемой должности у работодателя, с которым указанное лицо состояло в трудовых отношениях до призыва на военную службу.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акое преимущественное право предоставлено лицам, с которыми приостановленный трудовой договор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был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 расторгнут в связи с истечением срока его действия.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142" w:right="0" w:firstLine="283"/>
              <w:jc w:val="both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В случае отсутст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вия подходящей вакансии лицо имеет преимущественное право поступления на другую вакантную должность или работу, соответствующую его квалификации, а если такие вакантные должности отсутствуют - на вакантную нижестоящую должность или нижеоплачиваемую работу.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ч.13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ст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351.7 ТК РФ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white"/>
              </w:rPr>
            </w:r>
          </w:p>
        </w:tc>
      </w:tr>
    </w:tbl>
    <w:p>
      <w:pPr>
        <w:ind w:left="142" w:right="175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highlight w:val="yellow"/>
        </w:rPr>
      </w:pPr>
      <w:r>
        <w:rPr>
          <w:rFonts w:ascii="Times New Roman" w:hAnsi="Times New Roman" w:eastAsia="Times New Roman"/>
          <w:bCs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highlight w:val="yellow"/>
        </w:rPr>
      </w:r>
      <w:r>
        <w:rPr>
          <w:rFonts w:ascii="Times New Roman" w:hAnsi="Times New Roman" w:eastAsia="Times New Roman"/>
          <w:bCs/>
          <w:sz w:val="28"/>
          <w:szCs w:val="28"/>
          <w:highlight w:val="yellow"/>
        </w:rPr>
      </w:r>
    </w:p>
    <w:p>
      <w:pPr>
        <w:ind w:left="142" w:right="175"/>
        <w:jc w:val="right"/>
        <w:spacing w:after="0" w:line="240" w:lineRule="auto"/>
        <w:tabs>
          <w:tab w:val="left" w:pos="11625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/>
          <w:sz w:val="28"/>
          <w:szCs w:val="28"/>
          <w:highlight w:val="white"/>
        </w:rPr>
      </w:r>
    </w:p>
    <w:sectPr>
      <w:footnotePr/>
      <w:endnotePr/>
      <w:type w:val="nextPage"/>
      <w:pgSz w:w="16838" w:h="11906" w:orient="landscape"/>
      <w:pgMar w:top="851" w:right="851" w:bottom="1701" w:left="1134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9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2"/>
    <w:next w:val="842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basedOn w:val="843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2"/>
    <w:next w:val="842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3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2"/>
    <w:next w:val="842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3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2"/>
    <w:next w:val="842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3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2"/>
    <w:next w:val="842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3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2"/>
    <w:next w:val="842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2"/>
    <w:next w:val="842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3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2"/>
    <w:next w:val="842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3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2"/>
    <w:next w:val="842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3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2"/>
    <w:next w:val="842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3"/>
    <w:link w:val="688"/>
    <w:uiPriority w:val="10"/>
    <w:rPr>
      <w:sz w:val="48"/>
      <w:szCs w:val="48"/>
    </w:rPr>
  </w:style>
  <w:style w:type="paragraph" w:styleId="690">
    <w:name w:val="Subtitle"/>
    <w:basedOn w:val="842"/>
    <w:next w:val="842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3"/>
    <w:link w:val="690"/>
    <w:uiPriority w:val="11"/>
    <w:rPr>
      <w:sz w:val="24"/>
      <w:szCs w:val="24"/>
    </w:rPr>
  </w:style>
  <w:style w:type="paragraph" w:styleId="692">
    <w:name w:val="Quote"/>
    <w:basedOn w:val="842"/>
    <w:next w:val="842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2"/>
    <w:next w:val="842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3"/>
    <w:link w:val="847"/>
    <w:uiPriority w:val="99"/>
  </w:style>
  <w:style w:type="character" w:styleId="697">
    <w:name w:val="Footer Char"/>
    <w:basedOn w:val="843"/>
    <w:link w:val="849"/>
    <w:uiPriority w:val="99"/>
  </w:style>
  <w:style w:type="paragraph" w:styleId="698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849"/>
    <w:uiPriority w:val="99"/>
  </w:style>
  <w:style w:type="table" w:styleId="700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paragraph" w:styleId="847">
    <w:name w:val="Header"/>
    <w:basedOn w:val="842"/>
    <w:link w:val="8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8" w:customStyle="1">
    <w:name w:val="Верхний колонтитул Знак"/>
    <w:basedOn w:val="843"/>
    <w:link w:val="847"/>
    <w:uiPriority w:val="99"/>
  </w:style>
  <w:style w:type="paragraph" w:styleId="849">
    <w:name w:val="Footer"/>
    <w:basedOn w:val="842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Нижний колонтитул Знак"/>
    <w:basedOn w:val="843"/>
    <w:link w:val="849"/>
    <w:uiPriority w:val="99"/>
  </w:style>
  <w:style w:type="paragraph" w:styleId="851">
    <w:name w:val="Balloon Text"/>
    <w:basedOn w:val="842"/>
    <w:link w:val="8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link w:val="85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53">
    <w:name w:val="Hyperlink"/>
    <w:uiPriority w:val="99"/>
    <w:unhideWhenUsed/>
    <w:rPr>
      <w:color w:val="0000ff"/>
      <w:u w:val="single"/>
    </w:rPr>
  </w:style>
  <w:style w:type="table" w:styleId="854">
    <w:name w:val="Table Grid"/>
    <w:basedOn w:val="84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Light Shading Accent 1"/>
    <w:basedOn w:val="844"/>
    <w:uiPriority w:val="60"/>
    <w:rPr>
      <w:color w:val="365f91"/>
    </w:rPr>
    <w:tblPr>
      <w:tblStyleRowBandSize w:val="1"/>
      <w:tblStyleColBandSize w:val="1"/>
      <w:tblInd w:w="0" w:type="dxa"/>
      <w:tblBorders>
        <w:top w:val="single" w:color="4F81BD" w:sz="8" w:space="0"/>
        <w:bottom w:val="single" w:color="4F81BD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sz="8" w:space="0"/>
          <w:left w:val="none" w:color="000000" w:sz="4" w:space="0"/>
          <w:bottom w:val="single" w:color="4F81BD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8" w:space="0"/>
          <w:left w:val="none" w:color="000000" w:sz="4" w:space="0"/>
          <w:bottom w:val="single" w:color="4F81BD" w:sz="8" w:space="0"/>
          <w:righ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73E2DDE00BBF83223B9D6825D5565C9EDB29E17FEB9C921F0F5F0522FB95D0EFB7F07A4886D841C1441170AD40bCQ4C" TargetMode="External"/><Relationship Id="rId11" Type="http://schemas.openxmlformats.org/officeDocument/2006/relationships/hyperlink" Target="consultantplus://offline/ref=C608FFF7B2C0D5EF90B34299EDB0421112517C09682F64941A08D477CA7B19BEA07940C2784955C00FDACAA3D0F7153561E2630514D2CD44gAqAH" TargetMode="External"/><Relationship Id="rId12" Type="http://schemas.openxmlformats.org/officeDocument/2006/relationships/hyperlink" Target="consultantplus://offline/ref=C40A990339292A3F7C5C63C5BF250A494F9203BF73E0926EE5E68B16C52BC2E0AD50DAFC9E11C084F780BBF84060E1B5FEBD53D79ACBdCx1H" TargetMode="External"/><Relationship Id="rId13" Type="http://schemas.openxmlformats.org/officeDocument/2006/relationships/hyperlink" Target="consultantplus://offline/ref=01FC25241AF7D5C55F1A4EBAC2E9F093DC5C2EDECD6DD8AC0B9802C0D4C62DBA4E8B21203CCB02D4D7A17EB8D4AD6094CB2D8418306143XAC" TargetMode="External"/><Relationship Id="rId14" Type="http://schemas.openxmlformats.org/officeDocument/2006/relationships/hyperlink" Target="consultantplus://offline/ref=DB6D0E1A88EBACC1F5D5CB568F17AD27F620D247AE76A848209934228897B2C75A9E756459731587D71C96A7AF0E04C97BA4A94840u9a9E" TargetMode="External"/><Relationship Id="rId15" Type="http://schemas.openxmlformats.org/officeDocument/2006/relationships/hyperlink" Target="consultantplus://offline/ref=01FC25241AF7D5C55F1A4EBAC2E9F093DC5C2EDECD6DD8AC0B9802C0D4C62DBA4E8B21203CCB02D4D7A17EB8D4AD6094CB2D8418306143XAC" TargetMode="External"/><Relationship Id="rId16" Type="http://schemas.openxmlformats.org/officeDocument/2006/relationships/hyperlink" Target="https://login.consultant.ru/link/?req=doc&amp;base=LAW&amp;n=519026&amp;dst=102684&amp;field=134&amp;date=16.03.2026" TargetMode="External"/><Relationship Id="rId17" Type="http://schemas.openxmlformats.org/officeDocument/2006/relationships/hyperlink" Target="https://login.consultant.ru/link/?req=doc&amp;base=LAW&amp;n=519026&amp;dst=102685&amp;field=134&amp;date=16.03.2026" TargetMode="External"/><Relationship Id="rId18" Type="http://schemas.openxmlformats.org/officeDocument/2006/relationships/hyperlink" Target="https://login.consultant.ru/link/?req=doc&amp;base=LAW&amp;n=519026&amp;dst=100867&amp;field=134&amp;date=16.03.2026" TargetMode="External"/><Relationship Id="rId19" Type="http://schemas.openxmlformats.org/officeDocument/2006/relationships/hyperlink" Target="consultantplus://offline/ref=A3E72D32DD31EF0CAC7968ED7E8020DAC81649631001DDE418F577666EBFDBCAA06859E4AC0897019731DA972E9AE80C33720F80AA91D6uCF" TargetMode="External"/><Relationship Id="rId20" Type="http://schemas.openxmlformats.org/officeDocument/2006/relationships/hyperlink" Target="consultantplus://offline/ref=A3E72D32DD31EF0CAC7968ED7E8020DAC81649631001DDE418F577666EBFDBCAA06859E4AC0996019731DA972E9AE80C33720F80AA91D6uCF" TargetMode="External"/><Relationship Id="rId21" Type="http://schemas.openxmlformats.org/officeDocument/2006/relationships/hyperlink" Target="consultantplus://offline/ref=CC64F90251F989A2574D0C25771E43E12916D2455BA1A0F7AD0997A4FCB09DE7C24CB972FE24F95A0F8D48EE768DCFC536B6413C1CI3M9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269D-C840-4DA6-A904-B1447D01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Анна Александровна</dc:creator>
  <cp:revision>13</cp:revision>
  <dcterms:created xsi:type="dcterms:W3CDTF">2022-12-27T01:39:00Z</dcterms:created>
  <dcterms:modified xsi:type="dcterms:W3CDTF">2026-03-20T05:49:38Z</dcterms:modified>
</cp:coreProperties>
</file>